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3495A732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55BE9">
        <w:rPr>
          <w:rFonts w:ascii="Times New Roman" w:eastAsia="MS Mincho" w:hAnsi="Times New Roman"/>
          <w:b/>
          <w:sz w:val="24"/>
          <w:szCs w:val="24"/>
        </w:rPr>
        <w:t>84</w:t>
      </w:r>
      <w:r w:rsidR="00673826">
        <w:rPr>
          <w:rFonts w:ascii="Times New Roman" w:eastAsia="MS Mincho" w:hAnsi="Times New Roman"/>
          <w:b/>
          <w:sz w:val="24"/>
          <w:szCs w:val="24"/>
        </w:rPr>
        <w:t>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6C3C0181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5512919F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44695FFF" w14:textId="0186D2FE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8C23A1">
        <w:rPr>
          <w:rFonts w:ascii="Times New Roman" w:eastAsia="MS Mincho" w:hAnsi="Times New Roman"/>
          <w:sz w:val="24"/>
          <w:szCs w:val="24"/>
        </w:rPr>
        <w:t>----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19948E4F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732429EA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4D68DF35" w14:textId="6A220CA8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8C23A1">
        <w:rPr>
          <w:rFonts w:ascii="Times New Roman" w:eastAsia="MS Mincho" w:hAnsi="Times New Roman"/>
          <w:sz w:val="24"/>
          <w:szCs w:val="24"/>
        </w:rPr>
        <w:t>----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D348EC">
        <w:rPr>
          <w:rFonts w:ascii="Times New Roman" w:eastAsia="MS Mincho" w:hAnsi="Times New Roman"/>
          <w:sz w:val="24"/>
          <w:szCs w:val="24"/>
        </w:rPr>
        <w:t xml:space="preserve">ч. 1 ст. </w:t>
      </w:r>
      <w:r w:rsidR="00550C64">
        <w:rPr>
          <w:rFonts w:ascii="Times New Roman" w:eastAsia="MS Mincho" w:hAnsi="Times New Roman"/>
          <w:sz w:val="24"/>
          <w:szCs w:val="24"/>
        </w:rPr>
        <w:t>19.24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550C64">
        <w:rPr>
          <w:rFonts w:ascii="Times New Roman" w:eastAsia="MS Mincho" w:hAnsi="Times New Roman"/>
          <w:sz w:val="24"/>
          <w:szCs w:val="24"/>
        </w:rPr>
        <w:t>1000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8C23A1"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550C64">
        <w:rPr>
          <w:rFonts w:ascii="Times New Roman" w:eastAsia="MS Mincho" w:hAnsi="Times New Roman"/>
          <w:sz w:val="24"/>
          <w:szCs w:val="24"/>
        </w:rPr>
        <w:t>03.06</w:t>
      </w:r>
      <w:r w:rsidR="00F759CE">
        <w:rPr>
          <w:rFonts w:ascii="Times New Roman" w:eastAsia="MS Mincho" w:hAnsi="Times New Roman"/>
          <w:sz w:val="24"/>
          <w:szCs w:val="24"/>
        </w:rPr>
        <w:t>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по адресу Ханты-Мансийский автономный округ-Югра, г. </w:t>
      </w:r>
      <w:r w:rsidR="008C23A1">
        <w:rPr>
          <w:rFonts w:ascii="Times New Roman" w:eastAsia="MS Mincho" w:hAnsi="Times New Roman"/>
          <w:sz w:val="24"/>
          <w:szCs w:val="24"/>
        </w:rPr>
        <w:t>----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4B47CEFE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1CDCBED7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5B920C67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0CF2C481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586950B8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5B4A8419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54BAAA71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18299874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0ECA6718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05E1CC1A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550C64">
        <w:rPr>
          <w:rFonts w:eastAsia="MS Mincho"/>
        </w:rPr>
        <w:t>2000</w:t>
      </w:r>
      <w:r w:rsidRPr="007C62F5">
        <w:rPr>
          <w:rFonts w:eastAsia="MS Mincho"/>
        </w:rPr>
        <w:t xml:space="preserve"> (</w:t>
      </w:r>
      <w:r w:rsidR="00550C64">
        <w:rPr>
          <w:rFonts w:eastAsia="MS Mincho"/>
        </w:rPr>
        <w:t>две тысячи</w:t>
      </w:r>
      <w:r w:rsidRPr="007C62F5">
        <w:rPr>
          <w:rFonts w:eastAsia="MS Mincho"/>
        </w:rPr>
        <w:t>) рубл</w:t>
      </w:r>
      <w:r w:rsidR="00860FBA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425FC6C1" w14:textId="77A1EFCC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8C23A1">
        <w:t>---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6F58B4A0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39164826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26DAB48B" w14:textId="77777777">
      <w:pPr>
        <w:ind w:firstLine="708"/>
        <w:jc w:val="both"/>
        <w:rPr>
          <w:rFonts w:eastAsia="MS Mincho"/>
        </w:rPr>
      </w:pPr>
    </w:p>
    <w:p w:rsidR="008C23A1" w:rsidRPr="00B035BE" w:rsidP="008C23A1" w14:paraId="2F4D1110" w14:textId="09E42040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 w14:paraId="3A94611D" w14:textId="1A79574D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3F53D4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0C64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3826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3A9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23A1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B6DB8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AF7519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76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48E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633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